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AF" w:rsidRDefault="00F517A6" w:rsidP="00F91B18">
      <w:pPr>
        <w:rPr>
          <w:rFonts w:ascii="Times New Roman" w:eastAsia="Times New Roman" w:hAnsi="Times New Roman" w:cs="Times New Roman"/>
          <w:b/>
          <w:caps/>
          <w:snapToGrid w:val="0"/>
          <w:color w:val="000000"/>
          <w:sz w:val="26"/>
          <w:szCs w:val="26"/>
          <w:lang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snapToGrid w:val="0"/>
          <w:color w:val="000000"/>
          <w:sz w:val="26"/>
          <w:szCs w:val="26"/>
          <w:lang w:eastAsia="en-GB"/>
        </w:rPr>
        <w:t xml:space="preserve">Grafické </w:t>
      </w:r>
      <w:r w:rsidR="00993BAF" w:rsidRPr="00993BAF">
        <w:rPr>
          <w:rFonts w:ascii="Times New Roman" w:eastAsia="Times New Roman" w:hAnsi="Times New Roman" w:cs="Times New Roman"/>
          <w:b/>
          <w:caps/>
          <w:snapToGrid w:val="0"/>
          <w:color w:val="000000"/>
          <w:sz w:val="26"/>
          <w:szCs w:val="26"/>
          <w:lang w:eastAsia="en-GB"/>
        </w:rPr>
        <w:t>Náležitosti publicity</w:t>
      </w:r>
    </w:p>
    <w:p w:rsidR="00F91B18" w:rsidRPr="009C4725" w:rsidRDefault="00F91B18" w:rsidP="009C4725">
      <w:pPr>
        <w:pStyle w:val="Normlnywebov"/>
        <w:numPr>
          <w:ilvl w:val="0"/>
          <w:numId w:val="2"/>
        </w:numPr>
        <w:spacing w:before="480" w:beforeAutospacing="0" w:after="120" w:afterAutospacing="0" w:line="276" w:lineRule="auto"/>
        <w:ind w:left="284" w:hanging="284"/>
        <w:textAlignment w:val="baseline"/>
        <w:rPr>
          <w:b/>
          <w:sz w:val="26"/>
          <w:szCs w:val="26"/>
        </w:rPr>
      </w:pPr>
      <w:r w:rsidRPr="009C4725">
        <w:rPr>
          <w:b/>
          <w:sz w:val="26"/>
          <w:szCs w:val="26"/>
        </w:rPr>
        <w:t>Pokyny na používanie loga ISF a AMIF a vymedzenia štandardných farieb</w:t>
      </w:r>
    </w:p>
    <w:p w:rsidR="00F91B18" w:rsidRPr="00C55C7A" w:rsidRDefault="00F91B18" w:rsidP="00F91B18">
      <w:pPr>
        <w:rPr>
          <w:rFonts w:ascii="Times New Roman" w:hAnsi="Times New Roman" w:cs="Times New Roman"/>
        </w:rPr>
      </w:pPr>
    </w:p>
    <w:p w:rsidR="00F91B18" w:rsidRPr="009C4725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9C4725">
        <w:rPr>
          <w:b/>
          <w:bCs/>
        </w:rPr>
        <w:t>HERALDICKÝ OPIS</w:t>
      </w:r>
    </w:p>
    <w:p w:rsidR="00F91B18" w:rsidRPr="009C4725" w:rsidRDefault="00F91B18" w:rsidP="00F91B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C4725">
        <w:rPr>
          <w:rFonts w:ascii="Times New Roman" w:hAnsi="Times New Roman" w:cs="Times New Roman"/>
          <w:sz w:val="24"/>
          <w:szCs w:val="24"/>
        </w:rPr>
        <w:t>Na bielom poli sa nachádzajú dva prekryté trojuholníky v dvoch odtieňoch zelenej farby, lemovanej po ľavej strane textom ISF a po pravej strane AMIF. Po pravej strane loga sa nachádza logo EÚ.</w:t>
      </w:r>
    </w:p>
    <w:p w:rsidR="00F91B18" w:rsidRPr="009C4725" w:rsidRDefault="00F91B18" w:rsidP="00F91B18">
      <w:pPr>
        <w:rPr>
          <w:rFonts w:ascii="Times New Roman" w:hAnsi="Times New Roman" w:cs="Times New Roman"/>
          <w:sz w:val="24"/>
          <w:szCs w:val="24"/>
        </w:rPr>
      </w:pPr>
    </w:p>
    <w:p w:rsidR="00F91B18" w:rsidRPr="009C4725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9C4725">
        <w:rPr>
          <w:b/>
          <w:bCs/>
        </w:rPr>
        <w:t>PREDPÍSANÉ FARBY</w:t>
      </w:r>
    </w:p>
    <w:p w:rsidR="00F91B18" w:rsidRPr="009C4725" w:rsidRDefault="00F91B18" w:rsidP="00F91B18">
      <w:pPr>
        <w:pStyle w:val="Normlnywebov"/>
        <w:spacing w:before="120" w:beforeAutospacing="0" w:after="0" w:afterAutospacing="0"/>
        <w:jc w:val="both"/>
      </w:pPr>
      <w:r w:rsidRPr="009C4725">
        <w:t>Logo má tieto farby:</w:t>
      </w:r>
    </w:p>
    <w:p w:rsidR="00F91B18" w:rsidRPr="009C4725" w:rsidRDefault="00F91B18" w:rsidP="00F91B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1B18" w:rsidRPr="009C4725" w:rsidRDefault="00F91B18" w:rsidP="00F91B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4725">
        <w:rPr>
          <w:rFonts w:ascii="Times New Roman" w:hAnsi="Times New Roman" w:cs="Times New Roman"/>
          <w:sz w:val="24"/>
          <w:szCs w:val="24"/>
        </w:rPr>
        <w:t>RGB 175/203/8  (v hexadecimálnom vyjadrení AFCB08)</w:t>
      </w:r>
    </w:p>
    <w:p w:rsidR="00F91B18" w:rsidRPr="009C4725" w:rsidRDefault="00F91B18" w:rsidP="00F91B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4725">
        <w:rPr>
          <w:rFonts w:ascii="Times New Roman" w:hAnsi="Times New Roman" w:cs="Times New Roman"/>
          <w:sz w:val="24"/>
          <w:szCs w:val="24"/>
        </w:rPr>
        <w:t>RGB 11/161/59 (v hexadecimálnom vyjadrení 0BA13B)</w:t>
      </w:r>
    </w:p>
    <w:p w:rsidR="00F91B18" w:rsidRPr="009C4725" w:rsidRDefault="00F91B18" w:rsidP="00F91B18">
      <w:pPr>
        <w:rPr>
          <w:rFonts w:ascii="Times New Roman" w:hAnsi="Times New Roman" w:cs="Times New Roman"/>
          <w:sz w:val="24"/>
          <w:szCs w:val="24"/>
        </w:rPr>
      </w:pPr>
    </w:p>
    <w:p w:rsidR="00F91B18" w:rsidRPr="009C4725" w:rsidRDefault="00F91B18" w:rsidP="00F91B18">
      <w:pPr>
        <w:rPr>
          <w:rFonts w:ascii="Times New Roman" w:hAnsi="Times New Roman" w:cs="Times New Roman"/>
          <w:sz w:val="24"/>
          <w:szCs w:val="24"/>
        </w:rPr>
      </w:pPr>
      <w:r w:rsidRPr="009C4725">
        <w:rPr>
          <w:rFonts w:ascii="Times New Roman" w:hAnsi="Times New Roman" w:cs="Times New Roman"/>
          <w:b/>
          <w:sz w:val="24"/>
          <w:szCs w:val="24"/>
        </w:rPr>
        <w:t>Logo ISF a AMIF v slovenskom jazyku</w:t>
      </w:r>
    </w:p>
    <w:p w:rsidR="00F91B18" w:rsidRPr="009C4725" w:rsidRDefault="00F91B18" w:rsidP="00F91B18">
      <w:pPr>
        <w:rPr>
          <w:rFonts w:ascii="Times New Roman" w:hAnsi="Times New Roman" w:cs="Times New Roman"/>
          <w:sz w:val="24"/>
          <w:szCs w:val="24"/>
        </w:rPr>
      </w:pPr>
      <w:r w:rsidRPr="009C4725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6896E92A" wp14:editId="007BEA9F">
            <wp:extent cx="5753735" cy="940435"/>
            <wp:effectExtent l="0" t="0" r="0" b="0"/>
            <wp:docPr id="7" name="Obrázok 7" descr="S:\M F F 2014-2020 (ISF,AMF)\SPOLOCNE\Publicita\Logá\Logo ISF-AMIF\ISF_AMIF_LOGO-farebne-sv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M F F 2014-2020 (ISF,AMF)\SPOLOCNE\Publicita\Logá\Logo ISF-AMIF\ISF_AMIF_LOGO-farebne-sv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18" w:rsidRPr="009C4725" w:rsidRDefault="00F91B18" w:rsidP="00F91B18">
      <w:pPr>
        <w:rPr>
          <w:rFonts w:ascii="Times New Roman" w:hAnsi="Times New Roman" w:cs="Times New Roman"/>
          <w:sz w:val="24"/>
          <w:szCs w:val="24"/>
        </w:rPr>
      </w:pPr>
    </w:p>
    <w:p w:rsidR="009C4725" w:rsidRDefault="009C4725" w:rsidP="00F91B18">
      <w:pPr>
        <w:rPr>
          <w:rFonts w:ascii="Times New Roman" w:hAnsi="Times New Roman" w:cs="Times New Roman"/>
          <w:b/>
          <w:sz w:val="24"/>
          <w:szCs w:val="24"/>
        </w:rPr>
      </w:pPr>
    </w:p>
    <w:p w:rsidR="00F91B18" w:rsidRPr="009C4725" w:rsidRDefault="00F91B18" w:rsidP="00F91B18">
      <w:pPr>
        <w:rPr>
          <w:rFonts w:ascii="Times New Roman" w:hAnsi="Times New Roman" w:cs="Times New Roman"/>
          <w:b/>
          <w:sz w:val="24"/>
          <w:szCs w:val="24"/>
        </w:rPr>
      </w:pPr>
      <w:r w:rsidRPr="009C4725">
        <w:rPr>
          <w:rFonts w:ascii="Times New Roman" w:hAnsi="Times New Roman" w:cs="Times New Roman"/>
          <w:b/>
          <w:sz w:val="24"/>
          <w:szCs w:val="24"/>
        </w:rPr>
        <w:t>Logo ISF a AMIF v anglickom jazyku</w:t>
      </w:r>
    </w:p>
    <w:p w:rsidR="00F91B18" w:rsidRPr="009C4725" w:rsidRDefault="00F91B18" w:rsidP="00F91B18">
      <w:pPr>
        <w:rPr>
          <w:rFonts w:ascii="Times New Roman" w:hAnsi="Times New Roman" w:cs="Times New Roman"/>
          <w:sz w:val="24"/>
          <w:szCs w:val="24"/>
        </w:rPr>
      </w:pPr>
    </w:p>
    <w:p w:rsidR="00F91B18" w:rsidRPr="009C4725" w:rsidRDefault="00F91B18" w:rsidP="00F91B18">
      <w:pPr>
        <w:rPr>
          <w:rFonts w:ascii="Times New Roman" w:hAnsi="Times New Roman" w:cs="Times New Roman"/>
          <w:sz w:val="24"/>
          <w:szCs w:val="24"/>
        </w:rPr>
      </w:pPr>
      <w:r w:rsidRPr="009C4725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2CE47AA1" wp14:editId="5441340D">
            <wp:extent cx="5753735" cy="940435"/>
            <wp:effectExtent l="0" t="0" r="0" b="0"/>
            <wp:docPr id="10" name="Obrázok 10" descr="S:\M F F 2014-2020 (ISF,AMF)\SPOLOCNE\Publicita\Logá\Logo ISF-AMIF\ISF_AMIF_LOGO-farebne-e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:\M F F 2014-2020 (ISF,AMF)\SPOLOCNE\Publicita\Logá\Logo ISF-AMIF\ISF_AMIF_LOGO-farebne-en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25" w:rsidRDefault="009C4725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</w:p>
    <w:p w:rsidR="009C4725" w:rsidRDefault="009C4725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</w:p>
    <w:p w:rsidR="009C4725" w:rsidRDefault="009C4725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</w:p>
    <w:p w:rsidR="009C4725" w:rsidRDefault="009C4725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</w:p>
    <w:p w:rsidR="009C4725" w:rsidRDefault="009C4725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</w:p>
    <w:p w:rsidR="00F91B18" w:rsidRPr="009C4725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9C4725">
        <w:rPr>
          <w:b/>
          <w:bCs/>
        </w:rPr>
        <w:lastRenderedPageBreak/>
        <w:t>REPRODUKCIA NA FAREBNOM POZADÍ</w:t>
      </w:r>
    </w:p>
    <w:p w:rsidR="00F91B18" w:rsidRDefault="00F91B18" w:rsidP="00F91B18">
      <w:pPr>
        <w:pStyle w:val="Normlnywebov"/>
        <w:spacing w:before="120" w:beforeAutospacing="0" w:after="0" w:afterAutospacing="0"/>
      </w:pPr>
    </w:p>
    <w:p w:rsidR="00F91B18" w:rsidRPr="00CC3269" w:rsidRDefault="00F91B18" w:rsidP="00F91B18">
      <w:pPr>
        <w:pStyle w:val="Normlnywebov"/>
        <w:spacing w:before="120" w:beforeAutospacing="0" w:after="0" w:afterAutospacing="0"/>
      </w:pPr>
    </w:p>
    <w:p w:rsidR="00F91B18" w:rsidRPr="00D53B24" w:rsidRDefault="00F91B18" w:rsidP="00F91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1B343FA5" wp14:editId="3E7A5F8E">
            <wp:extent cx="5753735" cy="1457960"/>
            <wp:effectExtent l="0" t="0" r="0" b="8890"/>
            <wp:docPr id="9" name="Obrázok 9" descr="C:\Users\bozik2724603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ozik2724603\Desktop\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Toc442861434"/>
      <w:bookmarkStart w:id="2" w:name="_Toc442861942"/>
      <w:bookmarkStart w:id="3" w:name="_Toc442862008"/>
    </w:p>
    <w:p w:rsidR="00F91B18" w:rsidRDefault="00F91B18" w:rsidP="00F91B18">
      <w:pPr>
        <w:pStyle w:val="Nadpis1"/>
        <w:rPr>
          <w:rFonts w:ascii="Times New Roman" w:eastAsia="Calibri" w:hAnsi="Times New Roman" w:cs="Times New Roman"/>
          <w:color w:val="auto"/>
        </w:rPr>
      </w:pPr>
    </w:p>
    <w:p w:rsidR="00F91B18" w:rsidRDefault="00F91B18" w:rsidP="00F91B18">
      <w:pPr>
        <w:pStyle w:val="Nadpis1"/>
        <w:rPr>
          <w:rFonts w:ascii="Times New Roman" w:eastAsia="Calibri" w:hAnsi="Times New Roman" w:cs="Times New Roman"/>
          <w:color w:val="auto"/>
        </w:rPr>
      </w:pPr>
    </w:p>
    <w:p w:rsidR="00F91B18" w:rsidRDefault="00F91B18" w:rsidP="00F91B18">
      <w:pPr>
        <w:pStyle w:val="Nadpis1"/>
        <w:rPr>
          <w:rFonts w:ascii="Times New Roman" w:eastAsia="Calibri" w:hAnsi="Times New Roman" w:cs="Times New Roman"/>
          <w:color w:val="auto"/>
        </w:rPr>
      </w:pPr>
    </w:p>
    <w:p w:rsidR="00F91B18" w:rsidRDefault="00F91B18" w:rsidP="00F91B18">
      <w:pPr>
        <w:pStyle w:val="Nadpis1"/>
        <w:rPr>
          <w:rFonts w:ascii="Times New Roman" w:eastAsia="Calibri" w:hAnsi="Times New Roman" w:cs="Times New Roman"/>
          <w:color w:val="auto"/>
        </w:rPr>
      </w:pPr>
    </w:p>
    <w:p w:rsidR="00F91B18" w:rsidRDefault="00F91B18" w:rsidP="00F91B18">
      <w:pPr>
        <w:pStyle w:val="Nadpis1"/>
        <w:rPr>
          <w:rFonts w:ascii="Times New Roman" w:eastAsia="Calibri" w:hAnsi="Times New Roman" w:cs="Times New Roman"/>
          <w:color w:val="auto"/>
        </w:rPr>
      </w:pPr>
    </w:p>
    <w:p w:rsidR="00F91B18" w:rsidRDefault="00F91B18" w:rsidP="00F91B18">
      <w:pPr>
        <w:pStyle w:val="Nadpis1"/>
        <w:rPr>
          <w:rFonts w:ascii="Times New Roman" w:eastAsia="Calibri" w:hAnsi="Times New Roman" w:cs="Times New Roman"/>
          <w:color w:val="auto"/>
        </w:rPr>
      </w:pPr>
    </w:p>
    <w:p w:rsidR="00F91B18" w:rsidRDefault="00F91B18" w:rsidP="00F91B18">
      <w:pPr>
        <w:pStyle w:val="Nadpis1"/>
        <w:rPr>
          <w:rFonts w:ascii="Times New Roman" w:eastAsia="Calibri" w:hAnsi="Times New Roman" w:cs="Times New Roman"/>
          <w:color w:val="auto"/>
        </w:rPr>
      </w:pPr>
    </w:p>
    <w:p w:rsidR="00F91B18" w:rsidRDefault="00F91B18" w:rsidP="00F91B18"/>
    <w:p w:rsidR="00F91B18" w:rsidRPr="00D53B24" w:rsidRDefault="00F91B18" w:rsidP="00F91B18"/>
    <w:p w:rsidR="00F91B18" w:rsidRDefault="00F91B18" w:rsidP="00F91B1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6D98" w:rsidRDefault="007F6D98" w:rsidP="00F91B1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6D98" w:rsidRDefault="007F6D98" w:rsidP="00F91B1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6D98" w:rsidRPr="00D53B24" w:rsidRDefault="007F6D98" w:rsidP="00F91B18"/>
    <w:bookmarkEnd w:id="1"/>
    <w:bookmarkEnd w:id="2"/>
    <w:bookmarkEnd w:id="3"/>
    <w:p w:rsidR="00F91B18" w:rsidRDefault="00F91B18" w:rsidP="00F91B18">
      <w:pPr>
        <w:pStyle w:val="Normlnywebov"/>
        <w:spacing w:before="0" w:beforeAutospacing="0" w:after="120" w:afterAutospacing="0"/>
        <w:textAlignment w:val="baseline"/>
      </w:pPr>
    </w:p>
    <w:p w:rsidR="0061546B" w:rsidRDefault="0061546B" w:rsidP="00F91B18">
      <w:pPr>
        <w:pStyle w:val="Normlnywebov"/>
        <w:spacing w:before="0" w:beforeAutospacing="0" w:after="120" w:afterAutospacing="0"/>
        <w:textAlignment w:val="baseline"/>
      </w:pPr>
    </w:p>
    <w:p w:rsidR="009C4725" w:rsidRDefault="009C4725" w:rsidP="00F91B18">
      <w:pPr>
        <w:pStyle w:val="Normlnywebov"/>
        <w:spacing w:before="0" w:beforeAutospacing="0" w:after="120" w:afterAutospacing="0"/>
        <w:textAlignment w:val="baseline"/>
      </w:pPr>
    </w:p>
    <w:p w:rsidR="00F91B18" w:rsidRPr="009C4725" w:rsidRDefault="00F91B18" w:rsidP="009C4725">
      <w:pPr>
        <w:pStyle w:val="Normlnywebov"/>
        <w:numPr>
          <w:ilvl w:val="0"/>
          <w:numId w:val="2"/>
        </w:numPr>
        <w:spacing w:before="240" w:beforeAutospacing="0" w:after="120" w:afterAutospacing="0"/>
        <w:ind w:left="284" w:hanging="284"/>
        <w:textAlignment w:val="baseline"/>
        <w:rPr>
          <w:b/>
          <w:sz w:val="26"/>
          <w:szCs w:val="26"/>
        </w:rPr>
      </w:pPr>
      <w:r w:rsidRPr="009C4725">
        <w:rPr>
          <w:b/>
          <w:sz w:val="26"/>
          <w:szCs w:val="26"/>
        </w:rPr>
        <w:lastRenderedPageBreak/>
        <w:t xml:space="preserve">Pokyny na používanie znaku EÚ a vymedzenia štandardných farieb </w:t>
      </w:r>
    </w:p>
    <w:p w:rsidR="00F91B18" w:rsidRPr="00FA553F" w:rsidRDefault="00F91B18" w:rsidP="00F91B18">
      <w:pPr>
        <w:pStyle w:val="Normlnywebov"/>
        <w:spacing w:before="0" w:beforeAutospacing="0" w:after="0" w:afterAutospacing="0"/>
        <w:rPr>
          <w:b/>
          <w:bCs/>
        </w:rPr>
      </w:pPr>
    </w:p>
    <w:p w:rsidR="00F91B18" w:rsidRPr="00FA553F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FA553F">
        <w:rPr>
          <w:b/>
          <w:bCs/>
        </w:rPr>
        <w:t>OPIS SYMBOLOV</w:t>
      </w:r>
    </w:p>
    <w:p w:rsidR="00F91B18" w:rsidRPr="00FA553F" w:rsidRDefault="00F91B18" w:rsidP="00F91B18">
      <w:pPr>
        <w:pStyle w:val="Normlnywebov"/>
        <w:spacing w:before="120" w:beforeAutospacing="0" w:after="0" w:afterAutospacing="0"/>
        <w:jc w:val="both"/>
        <w:rPr>
          <w:sz w:val="22"/>
          <w:szCs w:val="22"/>
        </w:rPr>
      </w:pPr>
      <w:r w:rsidRPr="009C4725">
        <w:rPr>
          <w:szCs w:val="22"/>
        </w:rPr>
        <w:t>Na pozadí modrej oblohy je dvanásť zlatých hviezd usporiadaných do kruhu, ktorý predstavuje úniu európskych národov. Počet hviezd je nemenný, pričom dvanásť symbolizuje dokonalosť a jednotu</w:t>
      </w:r>
      <w:r w:rsidRPr="00FA553F">
        <w:rPr>
          <w:sz w:val="22"/>
          <w:szCs w:val="22"/>
        </w:rPr>
        <w:t xml:space="preserve">. </w:t>
      </w:r>
    </w:p>
    <w:p w:rsidR="00F91B18" w:rsidRPr="00FA553F" w:rsidRDefault="00F91B18" w:rsidP="00F91B18">
      <w:pPr>
        <w:pStyle w:val="Normlnywebov"/>
        <w:spacing w:before="0" w:beforeAutospacing="0" w:after="0" w:afterAutospacing="0"/>
        <w:jc w:val="both"/>
      </w:pPr>
    </w:p>
    <w:p w:rsidR="00F91B18" w:rsidRPr="00C81DA7" w:rsidRDefault="00F91B18" w:rsidP="00F91B18">
      <w:pPr>
        <w:pStyle w:val="Normlnywebov"/>
        <w:spacing w:before="0" w:beforeAutospacing="0" w:after="0" w:afterAutospacing="0"/>
        <w:jc w:val="both"/>
        <w:rPr>
          <w:i/>
          <w:color w:val="4F81BD"/>
        </w:rPr>
      </w:pPr>
      <w:r w:rsidRPr="00C81DA7">
        <w:rPr>
          <w:i/>
          <w:color w:val="4F81BD"/>
        </w:rPr>
        <w:t xml:space="preserve">Pre ďalšie informácie a pokyny, viď </w:t>
      </w:r>
    </w:p>
    <w:p w:rsidR="00F91B18" w:rsidRPr="00FA553F" w:rsidRDefault="00D4453C" w:rsidP="00F91B18">
      <w:pPr>
        <w:pStyle w:val="Normlnywebov"/>
        <w:spacing w:before="0" w:beforeAutospacing="0" w:after="0" w:afterAutospacing="0"/>
        <w:jc w:val="both"/>
        <w:rPr>
          <w:i/>
          <w:color w:val="4F81BD"/>
        </w:rPr>
      </w:pPr>
      <w:hyperlink r:id="rId11" w:history="1">
        <w:r w:rsidR="00F91B18" w:rsidRPr="00C81DA7">
          <w:rPr>
            <w:rStyle w:val="Hypertextovprepojenie"/>
            <w:i/>
          </w:rPr>
          <w:t>http://ec.europa.eu/dgs/communication/services/visual_identity/pdf/use-emblem_en.pdf</w:t>
        </w:r>
      </w:hyperlink>
      <w:r w:rsidR="00F91B18" w:rsidRPr="00FA553F">
        <w:rPr>
          <w:i/>
          <w:color w:val="4F81BD"/>
          <w:sz w:val="22"/>
          <w:szCs w:val="22"/>
        </w:rPr>
        <w:t xml:space="preserve"> </w:t>
      </w:r>
      <w:r w:rsidR="00F91B18" w:rsidRPr="00FA553F">
        <w:rPr>
          <w:i/>
          <w:color w:val="4F81BD"/>
          <w:sz w:val="22"/>
          <w:szCs w:val="22"/>
        </w:rPr>
        <w:br/>
      </w: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CC3269">
        <w:rPr>
          <w:b/>
          <w:bCs/>
        </w:rPr>
        <w:t>HERALDICKÝ OPIS</w:t>
      </w: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</w:pPr>
      <w:r w:rsidRPr="00CC3269">
        <w:t xml:space="preserve">Na azúrovom poli je kruh z dvanástich zlatých </w:t>
      </w:r>
      <w:proofErr w:type="spellStart"/>
      <w:r w:rsidRPr="00CC3269">
        <w:t>päťcípych</w:t>
      </w:r>
      <w:proofErr w:type="spellEnd"/>
      <w:r w:rsidRPr="00CC3269">
        <w:t xml:space="preserve"> hviezd, pričom ich cípy sa nedotýkajú.</w:t>
      </w: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CC3269">
        <w:rPr>
          <w:b/>
          <w:bCs/>
        </w:rPr>
        <w:t>GEOMETRICKÝ OPIS</w:t>
      </w:r>
    </w:p>
    <w:p w:rsidR="00C81DA7" w:rsidRDefault="00F91B18" w:rsidP="00F91B18">
      <w:pPr>
        <w:pStyle w:val="Normlnywebov"/>
        <w:spacing w:before="0" w:beforeAutospacing="0" w:after="0" w:afterAutospacing="0"/>
        <w:jc w:val="both"/>
      </w:pPr>
      <w:r w:rsidRPr="00FA553F">
        <w:rPr>
          <w:noProof/>
          <w:color w:val="000000"/>
          <w:sz w:val="20"/>
          <w:szCs w:val="20"/>
        </w:rPr>
        <w:drawing>
          <wp:inline distT="0" distB="0" distL="0" distR="0" wp14:anchorId="282BED30" wp14:editId="38370F39">
            <wp:extent cx="5105400" cy="3533775"/>
            <wp:effectExtent l="0" t="0" r="0" b="9525"/>
            <wp:docPr id="2" name="Obrázek 41" descr="Geometric descri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1" descr="Geometric descrip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553F">
        <w:rPr>
          <w:color w:val="000000"/>
          <w:sz w:val="20"/>
          <w:szCs w:val="20"/>
        </w:rPr>
        <w:t xml:space="preserve">    </w:t>
      </w:r>
      <w:r w:rsidRPr="00FA553F">
        <w:rPr>
          <w:color w:val="000000"/>
          <w:sz w:val="20"/>
          <w:szCs w:val="20"/>
        </w:rPr>
        <w:br/>
      </w:r>
    </w:p>
    <w:p w:rsidR="00F91B18" w:rsidRPr="00CC3269" w:rsidRDefault="00F91B18" w:rsidP="00F91B18">
      <w:pPr>
        <w:pStyle w:val="Normlnywebov"/>
        <w:spacing w:before="0" w:beforeAutospacing="0" w:after="0" w:afterAutospacing="0"/>
        <w:jc w:val="both"/>
      </w:pPr>
      <w:r w:rsidRPr="00CC3269">
        <w:t>Znak má tvar modrej obdĺžnikovej vlajky, ktorej šírka je jedenapolkrát dlhšia ako výška. Dvanásť zlatých hviezd je rozmiestnených v rovnakých vzdialenostiach na neviditeľnom kruhu, ktorého stred je priesečníkom uhlopriečok obdĺžnika. Polomer kruhu sa rovná jednej tretine výšky vlajky. Každá z hviezd má päť cípov, ktoré sú umiestnené po obvode neviditeľného kruhu, ktorého polomer je jedna osemnástina z výšky vlajky. Všetky hviezdy sú vo zvislej polohe, t. j. jeden cíp smeruje zvisle nahor a dva cípy sú v pravom uhle so sťažňom vlajky. Kruh je usporiadaný tak, že poloha hviezd zodpovedá umiestneniu čísel na hodinovom ciferníku. Ich počet je nemenný.</w:t>
      </w:r>
    </w:p>
    <w:p w:rsidR="00F91B18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</w:p>
    <w:p w:rsidR="00C81DA7" w:rsidRDefault="00C81DA7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CC3269">
        <w:rPr>
          <w:b/>
          <w:bCs/>
        </w:rPr>
        <w:lastRenderedPageBreak/>
        <w:t>PREDPÍSANÉ FARBY</w:t>
      </w: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</w:pPr>
      <w:r w:rsidRPr="00CC3269">
        <w:t>Znak má tieto farby:</w:t>
      </w:r>
    </w:p>
    <w:p w:rsidR="00F91B18" w:rsidRPr="00CC3269" w:rsidRDefault="00F91B18" w:rsidP="00F91B18">
      <w:pPr>
        <w:pStyle w:val="Normlnywebov"/>
        <w:spacing w:before="0" w:beforeAutospacing="0" w:after="0" w:afterAutospacing="0"/>
        <w:jc w:val="both"/>
      </w:pPr>
      <w:r w:rsidRPr="00CC3269">
        <w:t>PANTONE REFLEX MODRÁ na ploche obdĺžnika;</w:t>
      </w:r>
    </w:p>
    <w:p w:rsidR="00F91B18" w:rsidRPr="00CC3269" w:rsidRDefault="00F91B18" w:rsidP="00F91B18">
      <w:pPr>
        <w:pStyle w:val="Normlnywebov"/>
        <w:spacing w:before="0" w:beforeAutospacing="0" w:after="0" w:afterAutospacing="0"/>
        <w:jc w:val="both"/>
      </w:pPr>
      <w:r w:rsidRPr="00CC3269">
        <w:t>PANTONE ŽLTÁ pre hviezdy.</w:t>
      </w:r>
    </w:p>
    <w:p w:rsidR="00F91B18" w:rsidRPr="00CC3269" w:rsidRDefault="00F91B18" w:rsidP="00F91B18">
      <w:pPr>
        <w:pStyle w:val="Normlnywebov"/>
        <w:spacing w:before="120" w:beforeAutospacing="0" w:after="0" w:afterAutospacing="0"/>
      </w:pPr>
      <w:r w:rsidRPr="00CC3269">
        <w:rPr>
          <w:b/>
          <w:bCs/>
        </w:rPr>
        <w:t>Postup štyroch farieb</w:t>
      </w:r>
    </w:p>
    <w:p w:rsidR="00F91B18" w:rsidRPr="00CC3269" w:rsidRDefault="00F91B18" w:rsidP="00F91B18">
      <w:pPr>
        <w:pStyle w:val="Normlnywebov"/>
        <w:spacing w:before="0" w:beforeAutospacing="0" w:after="0" w:afterAutospacing="0"/>
        <w:jc w:val="both"/>
      </w:pPr>
      <w:r w:rsidRPr="00CC3269">
        <w:t>Ak sa používa postup štyroch farieb, znovu vytvorte tieto dve štandardné farby s použitím štyroch farieb z postupu štyroch farieb.</w:t>
      </w:r>
    </w:p>
    <w:p w:rsidR="00F91B18" w:rsidRPr="00CC3269" w:rsidRDefault="00F91B18" w:rsidP="00F91B18">
      <w:pPr>
        <w:pStyle w:val="Normlnywebov"/>
        <w:spacing w:before="0" w:beforeAutospacing="0" w:after="0" w:afterAutospacing="0"/>
        <w:jc w:val="both"/>
      </w:pPr>
      <w:r w:rsidRPr="00CC3269">
        <w:t>Farbu PANTONE ŽLTÁ získame použitím 100 % „</w:t>
      </w:r>
      <w:proofErr w:type="spellStart"/>
      <w:r w:rsidRPr="00CC3269">
        <w:t>Process</w:t>
      </w:r>
      <w:proofErr w:type="spellEnd"/>
      <w:r w:rsidRPr="00CC3269">
        <w:t xml:space="preserve"> </w:t>
      </w:r>
      <w:proofErr w:type="spellStart"/>
      <w:r w:rsidRPr="00CC3269">
        <w:t>Yellow</w:t>
      </w:r>
      <w:proofErr w:type="spellEnd"/>
      <w:r w:rsidRPr="00CC3269">
        <w:t>“.</w:t>
      </w:r>
    </w:p>
    <w:p w:rsidR="00F91B18" w:rsidRPr="00CC3269" w:rsidRDefault="00F91B18" w:rsidP="00F91B18">
      <w:pPr>
        <w:pStyle w:val="Normlnywebov"/>
        <w:spacing w:before="0" w:beforeAutospacing="0" w:after="0" w:afterAutospacing="0"/>
        <w:jc w:val="both"/>
      </w:pPr>
      <w:r w:rsidRPr="00CC3269">
        <w:t>Farbu PANTONE REFLEX MODRÁ získame zmiešaním 100 % „</w:t>
      </w:r>
      <w:proofErr w:type="spellStart"/>
      <w:r w:rsidRPr="00CC3269">
        <w:t>Process</w:t>
      </w:r>
      <w:proofErr w:type="spellEnd"/>
      <w:r w:rsidRPr="00CC3269">
        <w:t xml:space="preserve"> </w:t>
      </w:r>
      <w:proofErr w:type="spellStart"/>
      <w:r w:rsidRPr="00CC3269">
        <w:t>Cyan</w:t>
      </w:r>
      <w:proofErr w:type="spellEnd"/>
      <w:r w:rsidRPr="00CC3269">
        <w:t>“ a 80 % „</w:t>
      </w:r>
      <w:proofErr w:type="spellStart"/>
      <w:r w:rsidRPr="00CC3269">
        <w:t>Process</w:t>
      </w:r>
      <w:proofErr w:type="spellEnd"/>
      <w:r w:rsidRPr="00CC3269">
        <w:t xml:space="preserve"> </w:t>
      </w:r>
      <w:proofErr w:type="spellStart"/>
      <w:r w:rsidRPr="00CC3269">
        <w:t>Magenta</w:t>
      </w:r>
      <w:proofErr w:type="spellEnd"/>
      <w:r w:rsidRPr="00CC3269">
        <w:t>“.</w:t>
      </w:r>
    </w:p>
    <w:p w:rsidR="00F91B18" w:rsidRPr="00CC3269" w:rsidRDefault="00F91B18" w:rsidP="00F91B18">
      <w:pPr>
        <w:pStyle w:val="Normlnywebov"/>
        <w:spacing w:before="0" w:beforeAutospacing="0" w:after="0" w:afterAutospacing="0"/>
        <w:jc w:val="both"/>
      </w:pP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CC3269">
        <w:rPr>
          <w:b/>
          <w:bCs/>
        </w:rPr>
        <w:t>INTERNET</w:t>
      </w: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</w:pPr>
      <w:r w:rsidRPr="00CC3269">
        <w:t>Na internetovej palete PANTONE REFLEX MODRÁ zodpovedá farbe RGB:0/0/153 (v hexadecimálnom vyjadrení: 000099) a PANTONE ŽLTÁ farbe RGB:255/204/0 (v hexadecimálnom vyjadrení: FFCC00).</w:t>
      </w:r>
    </w:p>
    <w:p w:rsidR="00F91B18" w:rsidRPr="00CC3269" w:rsidRDefault="00F91B18" w:rsidP="00F91B18">
      <w:pPr>
        <w:pStyle w:val="Normlnywebov"/>
        <w:spacing w:before="120" w:beforeAutospacing="0" w:after="0" w:afterAutospacing="0"/>
        <w:rPr>
          <w:b/>
          <w:bCs/>
        </w:rPr>
      </w:pPr>
    </w:p>
    <w:p w:rsidR="00F91B18" w:rsidRPr="00CC3269" w:rsidRDefault="00F91B18" w:rsidP="00F91B18">
      <w:pPr>
        <w:pStyle w:val="Normlnywebov"/>
        <w:spacing w:before="120" w:beforeAutospacing="0" w:after="0" w:afterAutospacing="0"/>
      </w:pPr>
      <w:r w:rsidRPr="00CC3269">
        <w:rPr>
          <w:b/>
          <w:bCs/>
        </w:rPr>
        <w:t xml:space="preserve">Monochromatický reprodukčný proces </w:t>
      </w:r>
    </w:p>
    <w:p w:rsidR="00F91B18" w:rsidRPr="00FA553F" w:rsidRDefault="00F91B18" w:rsidP="00F91B18">
      <w:pPr>
        <w:pStyle w:val="Normlnywebov"/>
        <w:spacing w:before="120" w:beforeAutospacing="0" w:after="0" w:afterAutospacing="0"/>
        <w:jc w:val="both"/>
      </w:pPr>
      <w:r w:rsidRPr="00CC3269">
        <w:t xml:space="preserve">Ak použijete len čiernu farbu, orámujte obdĺžnik čiernou a hviezdy vytlačte </w:t>
      </w:r>
      <w:r w:rsidRPr="00FA553F">
        <w:rPr>
          <w:color w:val="000000"/>
        </w:rPr>
        <w:t>čiernou farbou na bielom pozadí.</w:t>
      </w:r>
    </w:p>
    <w:p w:rsidR="00F91B18" w:rsidRPr="00FA553F" w:rsidRDefault="00F91B18" w:rsidP="00F91B18">
      <w:pPr>
        <w:pStyle w:val="Normlnywebov"/>
        <w:spacing w:before="0" w:beforeAutospacing="0" w:after="0" w:afterAutospacing="0"/>
      </w:pPr>
      <w:r w:rsidRPr="00FA553F">
        <w:rPr>
          <w:noProof/>
          <w:color w:val="000000"/>
          <w:sz w:val="20"/>
          <w:szCs w:val="20"/>
        </w:rPr>
        <w:drawing>
          <wp:inline distT="0" distB="0" distL="0" distR="0" wp14:anchorId="32478944" wp14:editId="7D69D29C">
            <wp:extent cx="2333625" cy="1609725"/>
            <wp:effectExtent l="0" t="0" r="9525" b="9525"/>
            <wp:docPr id="3" name="Obrázek 40" descr="Monochrome reprodu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0" descr="Monochrome reproduc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18" w:rsidRPr="00FA553F" w:rsidRDefault="00F91B18" w:rsidP="00F91B18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:rsidR="00F91B18" w:rsidRPr="00FA553F" w:rsidRDefault="00F91B18" w:rsidP="00F91B18">
      <w:pPr>
        <w:pStyle w:val="Normlnywebov"/>
        <w:spacing w:before="0" w:beforeAutospacing="0" w:after="0" w:afterAutospacing="0"/>
        <w:jc w:val="both"/>
        <w:rPr>
          <w:color w:val="000000"/>
        </w:rPr>
      </w:pPr>
      <w:r w:rsidRPr="00FA553F">
        <w:rPr>
          <w:color w:val="000000"/>
        </w:rPr>
        <w:t>Ak použijete modrú farbu (Reflex modrá), použite ju na 100 % s hviezdami zobrazenými v bielom negatíve.</w:t>
      </w:r>
    </w:p>
    <w:p w:rsidR="00F91B18" w:rsidRPr="00FA553F" w:rsidRDefault="00F91B18" w:rsidP="00F91B18">
      <w:pPr>
        <w:pStyle w:val="Normlnywebov"/>
        <w:spacing w:before="0" w:beforeAutospacing="0" w:after="0" w:afterAutospacing="0"/>
        <w:jc w:val="both"/>
      </w:pPr>
    </w:p>
    <w:p w:rsidR="00F91B18" w:rsidRPr="00FA553F" w:rsidRDefault="00F91B18" w:rsidP="00F91B18">
      <w:pPr>
        <w:pStyle w:val="Normlnywebov"/>
        <w:spacing w:before="0" w:beforeAutospacing="0" w:after="0" w:afterAutospacing="0"/>
      </w:pPr>
      <w:r w:rsidRPr="00FA553F">
        <w:rPr>
          <w:noProof/>
          <w:color w:val="000000"/>
          <w:sz w:val="20"/>
          <w:szCs w:val="20"/>
        </w:rPr>
        <w:drawing>
          <wp:inline distT="0" distB="0" distL="0" distR="0" wp14:anchorId="23E2340F" wp14:editId="37F3DA86">
            <wp:extent cx="2333625" cy="1552575"/>
            <wp:effectExtent l="0" t="0" r="9525" b="9525"/>
            <wp:docPr id="4" name="Obrázek 39" descr="Monochrome reprodu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9" descr="Monochrome reproduc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18" w:rsidRPr="00FA553F" w:rsidRDefault="00F91B18" w:rsidP="00F91B18">
      <w:pPr>
        <w:rPr>
          <w:rFonts w:ascii="Times New Roman" w:hAnsi="Times New Roman" w:cs="Times New Roman"/>
        </w:rPr>
      </w:pPr>
    </w:p>
    <w:p w:rsidR="00F91B18" w:rsidRPr="00FA553F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  <w:color w:val="1F497D"/>
        </w:rPr>
      </w:pPr>
    </w:p>
    <w:p w:rsidR="00F91B18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  <w:color w:val="1F497D"/>
        </w:rPr>
      </w:pPr>
    </w:p>
    <w:p w:rsidR="00F91B18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  <w:color w:val="1F497D"/>
        </w:rPr>
      </w:pP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CC3269">
        <w:rPr>
          <w:b/>
          <w:bCs/>
        </w:rPr>
        <w:lastRenderedPageBreak/>
        <w:t>REPRODUKCIA NA FAREBNOM POZADÍ</w:t>
      </w:r>
    </w:p>
    <w:p w:rsidR="00F91B18" w:rsidRPr="00CC3269" w:rsidRDefault="00F91B18" w:rsidP="00F91B18">
      <w:pPr>
        <w:pStyle w:val="Normlnywebov"/>
        <w:spacing w:before="120" w:beforeAutospacing="0" w:after="0" w:afterAutospacing="0"/>
      </w:pPr>
      <w:r w:rsidRPr="00CC3269">
        <w:t>Ak nemáte inú možnosť ako farebné pozadie, orámujte obdĺžnik bielym pruhom so šírkou, ktorá sa rovná 1/25 výšky obdĺžnika.</w:t>
      </w:r>
    </w:p>
    <w:p w:rsidR="00F91B18" w:rsidRPr="00FA553F" w:rsidRDefault="00F91B18" w:rsidP="00F91B18">
      <w:pPr>
        <w:pStyle w:val="Normlnywebov"/>
        <w:spacing w:before="120" w:beforeAutospacing="0" w:after="0" w:afterAutospacing="0"/>
      </w:pPr>
    </w:p>
    <w:p w:rsidR="00F91B18" w:rsidRPr="00FA553F" w:rsidRDefault="00F91B18" w:rsidP="00F91B18">
      <w:pPr>
        <w:pStyle w:val="Normlnywebov"/>
        <w:spacing w:before="0" w:beforeAutospacing="0" w:after="0" w:afterAutospacing="0"/>
      </w:pPr>
      <w:r w:rsidRPr="00FA553F">
        <w:rPr>
          <w:noProof/>
          <w:color w:val="000000"/>
          <w:sz w:val="20"/>
          <w:szCs w:val="20"/>
        </w:rPr>
        <w:drawing>
          <wp:inline distT="0" distB="0" distL="0" distR="0" wp14:anchorId="33F05538" wp14:editId="26021957">
            <wp:extent cx="2619375" cy="2143125"/>
            <wp:effectExtent l="0" t="0" r="9525" b="9525"/>
            <wp:docPr id="5" name="Obrázek 38" descr="Reproduction on coloured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8" descr="Reproduction on coloured backgroun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18" w:rsidRPr="00FA553F" w:rsidRDefault="00F91B18" w:rsidP="00F91B18">
      <w:pPr>
        <w:spacing w:after="240"/>
        <w:rPr>
          <w:rFonts w:ascii="Times New Roman" w:hAnsi="Times New Roman" w:cs="Times New Roman"/>
        </w:rPr>
      </w:pPr>
    </w:p>
    <w:p w:rsidR="00F91B18" w:rsidRPr="00FA553F" w:rsidRDefault="00F91B18" w:rsidP="00F91B18">
      <w:pPr>
        <w:spacing w:after="240"/>
        <w:rPr>
          <w:rFonts w:ascii="Times New Roman" w:hAnsi="Times New Roman" w:cs="Times New Roman"/>
        </w:rPr>
      </w:pP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  <w:r w:rsidRPr="00CC3269">
        <w:rPr>
          <w:b/>
          <w:bCs/>
        </w:rPr>
        <w:t xml:space="preserve">APLIKÁCIA TEXTU O POTVRDENÍ FINANCOVANIA EÚ </w:t>
      </w:r>
    </w:p>
    <w:p w:rsidR="00F91B18" w:rsidRDefault="00F91B18" w:rsidP="00F91B18">
      <w:pPr>
        <w:pStyle w:val="Normlnywebov"/>
        <w:spacing w:before="120" w:beforeAutospacing="0" w:after="0" w:afterAutospacing="0"/>
        <w:jc w:val="both"/>
        <w:rPr>
          <w:bCs/>
        </w:rPr>
      </w:pPr>
    </w:p>
    <w:p w:rsidR="00F91B18" w:rsidRDefault="00F91B18" w:rsidP="00F91B18">
      <w:pPr>
        <w:pStyle w:val="Normlnywebov"/>
        <w:spacing w:before="120" w:beforeAutospacing="0" w:after="0" w:afterAutospacing="0"/>
        <w:jc w:val="both"/>
        <w:rPr>
          <w:bCs/>
        </w:rPr>
      </w:pPr>
      <w:r>
        <w:rPr>
          <w:bCs/>
          <w:noProof/>
        </w:rPr>
        <w:drawing>
          <wp:inline distT="0" distB="0" distL="0" distR="0" wp14:anchorId="4276B7CA" wp14:editId="5F758D42">
            <wp:extent cx="5753735" cy="1958340"/>
            <wp:effectExtent l="0" t="0" r="0" b="3810"/>
            <wp:docPr id="6" name="Obrázok 6" descr="C:\Users\bozik2724603\Desktop\ISF_AMIF_LOGO-farebne-sv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zik2724603\Desktop\ISF_AMIF_LOGO-farebne-svk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  <w:rPr>
          <w:bCs/>
        </w:rPr>
      </w:pPr>
      <w:r w:rsidRPr="00CC3269">
        <w:rPr>
          <w:bCs/>
        </w:rPr>
        <w:t>ZÁKLADNÉ PRAVIDLÁ</w:t>
      </w:r>
      <w:r>
        <w:rPr>
          <w:bCs/>
        </w:rPr>
        <w:t>:</w:t>
      </w:r>
      <w:r w:rsidRPr="00CC3269">
        <w:rPr>
          <w:bCs/>
        </w:rPr>
        <w:t xml:space="preserve"> </w:t>
      </w:r>
    </w:p>
    <w:p w:rsidR="00F91B18" w:rsidRPr="00CC3269" w:rsidRDefault="00F91B18" w:rsidP="00F91B18">
      <w:pPr>
        <w:pStyle w:val="Normlnywebov"/>
        <w:spacing w:before="120" w:beforeAutospacing="0" w:after="0" w:afterAutospacing="0"/>
        <w:jc w:val="both"/>
        <w:rPr>
          <w:b/>
          <w:bCs/>
        </w:rPr>
      </w:pPr>
    </w:p>
    <w:p w:rsidR="00F91B18" w:rsidRPr="00452BB0" w:rsidRDefault="00F91B18" w:rsidP="00F91B18">
      <w:pPr>
        <w:pStyle w:val="Odsekzoznamu"/>
        <w:numPr>
          <w:ilvl w:val="0"/>
          <w:numId w:val="1"/>
        </w:numPr>
        <w:spacing w:after="240"/>
        <w:jc w:val="both"/>
      </w:pPr>
      <w:r>
        <w:rPr>
          <w:rStyle w:val="hps"/>
        </w:rPr>
        <w:t>m</w:t>
      </w:r>
      <w:r w:rsidRPr="00452BB0">
        <w:rPr>
          <w:rStyle w:val="hps"/>
        </w:rPr>
        <w:t>inimálna</w:t>
      </w:r>
      <w:r w:rsidRPr="00452BB0">
        <w:t xml:space="preserve"> </w:t>
      </w:r>
      <w:r w:rsidRPr="00452BB0">
        <w:rPr>
          <w:rStyle w:val="hps"/>
        </w:rPr>
        <w:t>výška</w:t>
      </w:r>
      <w:r w:rsidRPr="00452BB0">
        <w:t xml:space="preserve"> </w:t>
      </w:r>
      <w:r w:rsidRPr="00452BB0">
        <w:rPr>
          <w:rStyle w:val="hps"/>
        </w:rPr>
        <w:t>znaku</w:t>
      </w:r>
      <w:r w:rsidRPr="00452BB0">
        <w:t xml:space="preserve"> </w:t>
      </w:r>
      <w:r w:rsidRPr="00452BB0">
        <w:rPr>
          <w:rStyle w:val="hps"/>
        </w:rPr>
        <w:t>EÚ musí</w:t>
      </w:r>
      <w:r w:rsidRPr="00452BB0">
        <w:t xml:space="preserve"> </w:t>
      </w:r>
      <w:r w:rsidRPr="00452BB0">
        <w:rPr>
          <w:rStyle w:val="hps"/>
        </w:rPr>
        <w:t>byť</w:t>
      </w:r>
      <w:r w:rsidRPr="00452BB0">
        <w:t xml:space="preserve"> </w:t>
      </w:r>
      <w:r w:rsidRPr="00452BB0">
        <w:rPr>
          <w:rStyle w:val="hps"/>
        </w:rPr>
        <w:t>1</w:t>
      </w:r>
      <w:r w:rsidRPr="00452BB0">
        <w:t xml:space="preserve"> </w:t>
      </w:r>
      <w:r w:rsidRPr="00452BB0">
        <w:rPr>
          <w:rStyle w:val="hps"/>
        </w:rPr>
        <w:t>cm</w:t>
      </w:r>
      <w:r>
        <w:t>;</w:t>
      </w:r>
    </w:p>
    <w:p w:rsidR="00F91B18" w:rsidRPr="00452BB0" w:rsidRDefault="00F91B18" w:rsidP="00F91B18">
      <w:pPr>
        <w:pStyle w:val="Odsekzoznamu"/>
        <w:numPr>
          <w:ilvl w:val="0"/>
          <w:numId w:val="1"/>
        </w:numPr>
        <w:spacing w:after="240"/>
        <w:jc w:val="both"/>
      </w:pPr>
      <w:r>
        <w:rPr>
          <w:rStyle w:val="hps"/>
        </w:rPr>
        <w:t>n</w:t>
      </w:r>
      <w:r w:rsidRPr="00452BB0">
        <w:rPr>
          <w:rStyle w:val="hps"/>
        </w:rPr>
        <w:t>ázov</w:t>
      </w:r>
      <w:r w:rsidRPr="00452BB0">
        <w:t xml:space="preserve"> „</w:t>
      </w:r>
      <w:r w:rsidRPr="00452BB0">
        <w:rPr>
          <w:rStyle w:val="hps"/>
        </w:rPr>
        <w:t>Európska</w:t>
      </w:r>
      <w:r w:rsidRPr="00452BB0">
        <w:t xml:space="preserve"> </w:t>
      </w:r>
      <w:r w:rsidRPr="00452BB0">
        <w:rPr>
          <w:rStyle w:val="hps"/>
        </w:rPr>
        <w:t>únia“</w:t>
      </w:r>
      <w:r w:rsidRPr="00452BB0">
        <w:t xml:space="preserve"> </w:t>
      </w:r>
      <w:r w:rsidRPr="00452BB0">
        <w:rPr>
          <w:rStyle w:val="hps"/>
        </w:rPr>
        <w:t>musí byť</w:t>
      </w:r>
      <w:r w:rsidRPr="00452BB0">
        <w:t xml:space="preserve"> </w:t>
      </w:r>
      <w:r w:rsidRPr="00452BB0">
        <w:rPr>
          <w:rStyle w:val="hps"/>
        </w:rPr>
        <w:t>vždy</w:t>
      </w:r>
      <w:r w:rsidRPr="00452BB0">
        <w:t xml:space="preserve"> </w:t>
      </w:r>
      <w:r w:rsidRPr="00452BB0">
        <w:rPr>
          <w:rStyle w:val="hps"/>
        </w:rPr>
        <w:t>napísaný</w:t>
      </w:r>
      <w:r w:rsidRPr="00452BB0">
        <w:t xml:space="preserve"> </w:t>
      </w:r>
      <w:r w:rsidRPr="00452BB0">
        <w:rPr>
          <w:rStyle w:val="hps"/>
        </w:rPr>
        <w:t>v</w:t>
      </w:r>
      <w:r w:rsidRPr="00452BB0">
        <w:t> </w:t>
      </w:r>
      <w:r w:rsidRPr="00452BB0">
        <w:rPr>
          <w:rStyle w:val="hps"/>
        </w:rPr>
        <w:t>plnom rozsahu</w:t>
      </w:r>
      <w:r>
        <w:t>;</w:t>
      </w:r>
    </w:p>
    <w:p w:rsidR="00F91B18" w:rsidRPr="00452BB0" w:rsidRDefault="00F91B18" w:rsidP="00F91B18">
      <w:pPr>
        <w:pStyle w:val="Odsekzoznamu"/>
        <w:numPr>
          <w:ilvl w:val="0"/>
          <w:numId w:val="1"/>
        </w:numPr>
        <w:spacing w:after="240"/>
        <w:jc w:val="both"/>
      </w:pPr>
      <w:r>
        <w:rPr>
          <w:rStyle w:val="hps"/>
        </w:rPr>
        <w:t>p</w:t>
      </w:r>
      <w:r w:rsidRPr="00452BB0">
        <w:rPr>
          <w:rStyle w:val="hps"/>
        </w:rPr>
        <w:t>ísmo</w:t>
      </w:r>
      <w:r w:rsidRPr="00452BB0">
        <w:t xml:space="preserve">, </w:t>
      </w:r>
      <w:r w:rsidRPr="00452BB0">
        <w:rPr>
          <w:rStyle w:val="hps"/>
        </w:rPr>
        <w:t>ktoré má byť použité</w:t>
      </w:r>
      <w:r w:rsidRPr="00452BB0">
        <w:t xml:space="preserve"> </w:t>
      </w:r>
      <w:r w:rsidRPr="00452BB0">
        <w:rPr>
          <w:rStyle w:val="hps"/>
        </w:rPr>
        <w:t>v spojení so</w:t>
      </w:r>
      <w:r w:rsidRPr="00452BB0">
        <w:t xml:space="preserve"> </w:t>
      </w:r>
      <w:r w:rsidRPr="00452BB0">
        <w:rPr>
          <w:rStyle w:val="hps"/>
        </w:rPr>
        <w:t>znakom</w:t>
      </w:r>
      <w:r w:rsidRPr="00452BB0">
        <w:t xml:space="preserve"> </w:t>
      </w:r>
      <w:r w:rsidRPr="00452BB0">
        <w:rPr>
          <w:rStyle w:val="hps"/>
        </w:rPr>
        <w:t>EÚ</w:t>
      </w:r>
      <w:r w:rsidRPr="00452BB0">
        <w:t xml:space="preserve"> </w:t>
      </w:r>
      <w:r w:rsidRPr="00452BB0">
        <w:rPr>
          <w:rStyle w:val="hps"/>
        </w:rPr>
        <w:t>môže</w:t>
      </w:r>
      <w:r w:rsidRPr="00452BB0">
        <w:t xml:space="preserve"> </w:t>
      </w:r>
      <w:r w:rsidRPr="00452BB0">
        <w:rPr>
          <w:rStyle w:val="hps"/>
        </w:rPr>
        <w:t>byť</w:t>
      </w:r>
      <w:r w:rsidRPr="00452BB0">
        <w:t xml:space="preserve"> </w:t>
      </w:r>
      <w:r w:rsidRPr="00452BB0">
        <w:rPr>
          <w:rStyle w:val="hps"/>
        </w:rPr>
        <w:t>niektorý</w:t>
      </w:r>
      <w:r w:rsidRPr="00452BB0">
        <w:t xml:space="preserve"> </w:t>
      </w:r>
      <w:r w:rsidRPr="00452BB0">
        <w:rPr>
          <w:rStyle w:val="hps"/>
        </w:rPr>
        <w:t>z nasledujúcich fontov</w:t>
      </w:r>
      <w:r w:rsidRPr="00452BB0">
        <w:t xml:space="preserve">: </w:t>
      </w:r>
      <w:proofErr w:type="spellStart"/>
      <w:r w:rsidRPr="00452BB0">
        <w:rPr>
          <w:rStyle w:val="hps"/>
        </w:rPr>
        <w:t>Arial</w:t>
      </w:r>
      <w:proofErr w:type="spellEnd"/>
      <w:r w:rsidRPr="00452BB0">
        <w:t xml:space="preserve">, </w:t>
      </w:r>
      <w:proofErr w:type="spellStart"/>
      <w:r w:rsidRPr="00452BB0">
        <w:rPr>
          <w:rStyle w:val="hps"/>
        </w:rPr>
        <w:t>Calibri</w:t>
      </w:r>
      <w:proofErr w:type="spellEnd"/>
      <w:r w:rsidRPr="00452BB0">
        <w:t xml:space="preserve">, </w:t>
      </w:r>
      <w:proofErr w:type="spellStart"/>
      <w:r w:rsidRPr="00452BB0">
        <w:rPr>
          <w:rStyle w:val="hps"/>
        </w:rPr>
        <w:t>Garamond</w:t>
      </w:r>
      <w:proofErr w:type="spellEnd"/>
      <w:r w:rsidRPr="00452BB0">
        <w:t xml:space="preserve">, </w:t>
      </w:r>
      <w:proofErr w:type="spellStart"/>
      <w:r w:rsidRPr="00452BB0">
        <w:rPr>
          <w:rStyle w:val="hps"/>
        </w:rPr>
        <w:t>Trebuchet</w:t>
      </w:r>
      <w:proofErr w:type="spellEnd"/>
      <w:r w:rsidRPr="00452BB0">
        <w:t xml:space="preserve">, </w:t>
      </w:r>
      <w:proofErr w:type="spellStart"/>
      <w:r w:rsidRPr="00452BB0">
        <w:rPr>
          <w:rStyle w:val="hps"/>
        </w:rPr>
        <w:t>Tahoma</w:t>
      </w:r>
      <w:proofErr w:type="spellEnd"/>
      <w:r w:rsidRPr="00452BB0">
        <w:t xml:space="preserve">, </w:t>
      </w:r>
      <w:proofErr w:type="spellStart"/>
      <w:r w:rsidRPr="00452BB0">
        <w:rPr>
          <w:rStyle w:val="hps"/>
        </w:rPr>
        <w:t>Verdana</w:t>
      </w:r>
      <w:proofErr w:type="spellEnd"/>
      <w:r>
        <w:t>;</w:t>
      </w:r>
    </w:p>
    <w:p w:rsidR="00F91B18" w:rsidRPr="00452BB0" w:rsidRDefault="00F91B18" w:rsidP="00F91B18">
      <w:pPr>
        <w:pStyle w:val="Odsekzoznamu"/>
        <w:numPr>
          <w:ilvl w:val="0"/>
          <w:numId w:val="1"/>
        </w:numPr>
        <w:spacing w:after="240"/>
        <w:jc w:val="both"/>
        <w:rPr>
          <w:rStyle w:val="hps"/>
        </w:rPr>
      </w:pPr>
      <w:r>
        <w:rPr>
          <w:rStyle w:val="hps"/>
        </w:rPr>
        <w:t>k</w:t>
      </w:r>
      <w:r w:rsidRPr="00452BB0">
        <w:rPr>
          <w:rStyle w:val="hps"/>
        </w:rPr>
        <w:t>urzíva,  zdôraznenie rozdielov a použitie efektov písma nie je povolené</w:t>
      </w:r>
      <w:r>
        <w:rPr>
          <w:rStyle w:val="hps"/>
        </w:rPr>
        <w:t>;</w:t>
      </w:r>
    </w:p>
    <w:p w:rsidR="00F91B18" w:rsidRPr="00452BB0" w:rsidRDefault="00F91B18" w:rsidP="00F91B18">
      <w:pPr>
        <w:pStyle w:val="Odsekzoznamu"/>
        <w:numPr>
          <w:ilvl w:val="0"/>
          <w:numId w:val="1"/>
        </w:numPr>
        <w:spacing w:after="240"/>
        <w:jc w:val="both"/>
        <w:rPr>
          <w:rStyle w:val="hps"/>
        </w:rPr>
      </w:pPr>
      <w:r>
        <w:rPr>
          <w:rStyle w:val="hps"/>
        </w:rPr>
        <w:t>u</w:t>
      </w:r>
      <w:r w:rsidRPr="00452BB0">
        <w:rPr>
          <w:rStyle w:val="hps"/>
        </w:rPr>
        <w:t>miestnenie textu vo vzťahu k znaku EÚ nie je konkrétne stanovené,  ale nesmie zasahovať  do znaku</w:t>
      </w:r>
      <w:r>
        <w:rPr>
          <w:rStyle w:val="hps"/>
        </w:rPr>
        <w:t>;</w:t>
      </w:r>
    </w:p>
    <w:p w:rsidR="00F91B18" w:rsidRPr="00452BB0" w:rsidRDefault="00F91B18" w:rsidP="00F91B18">
      <w:pPr>
        <w:pStyle w:val="Odsekzoznamu"/>
        <w:numPr>
          <w:ilvl w:val="0"/>
          <w:numId w:val="1"/>
        </w:numPr>
        <w:spacing w:after="240"/>
        <w:jc w:val="both"/>
        <w:rPr>
          <w:rStyle w:val="hps"/>
        </w:rPr>
      </w:pPr>
      <w:r>
        <w:rPr>
          <w:rStyle w:val="hps"/>
        </w:rPr>
        <w:t>v</w:t>
      </w:r>
      <w:r w:rsidRPr="00452BB0">
        <w:rPr>
          <w:rStyle w:val="hps"/>
        </w:rPr>
        <w:t>eľkosť písma by mala byť primeraná veľkosti znaku</w:t>
      </w:r>
      <w:r>
        <w:rPr>
          <w:rStyle w:val="hps"/>
        </w:rPr>
        <w:t>;</w:t>
      </w:r>
      <w:r w:rsidRPr="00452BB0">
        <w:rPr>
          <w:rStyle w:val="hps"/>
        </w:rPr>
        <w:t xml:space="preserve"> </w:t>
      </w:r>
    </w:p>
    <w:p w:rsidR="00F84EF4" w:rsidRDefault="00F91B18" w:rsidP="00971E49">
      <w:pPr>
        <w:pStyle w:val="Odsekzoznamu"/>
        <w:numPr>
          <w:ilvl w:val="0"/>
          <w:numId w:val="1"/>
        </w:numPr>
        <w:spacing w:after="240"/>
        <w:jc w:val="both"/>
      </w:pPr>
      <w:r>
        <w:rPr>
          <w:rStyle w:val="hps"/>
        </w:rPr>
        <w:t>f</w:t>
      </w:r>
      <w:r w:rsidRPr="00452BB0">
        <w:rPr>
          <w:rStyle w:val="hps"/>
        </w:rPr>
        <w:t xml:space="preserve">arba písma by mala byť reflex </w:t>
      </w:r>
      <w:proofErr w:type="spellStart"/>
      <w:r w:rsidRPr="00452BB0">
        <w:rPr>
          <w:rStyle w:val="hps"/>
        </w:rPr>
        <w:t>blue</w:t>
      </w:r>
      <w:proofErr w:type="spellEnd"/>
      <w:r w:rsidRPr="00452BB0">
        <w:rPr>
          <w:rStyle w:val="hps"/>
        </w:rPr>
        <w:t xml:space="preserve"> (modrá farba rovnaká ako vlajka EÚ), ​​čierna alebo biela v závislosti od farby pozadia.</w:t>
      </w:r>
    </w:p>
    <w:sectPr w:rsidR="00F84EF4" w:rsidSect="00333205">
      <w:footerReference w:type="default" r:id="rId17"/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FF8" w:rsidRDefault="00B70FF8" w:rsidP="00B70FF8">
      <w:pPr>
        <w:spacing w:after="0" w:line="240" w:lineRule="auto"/>
      </w:pPr>
      <w:r>
        <w:separator/>
      </w:r>
    </w:p>
  </w:endnote>
  <w:endnote w:type="continuationSeparator" w:id="0">
    <w:p w:rsidR="00B70FF8" w:rsidRDefault="00B70FF8" w:rsidP="00B70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273057"/>
      <w:docPartObj>
        <w:docPartGallery w:val="Page Numbers (Bottom of Page)"/>
        <w:docPartUnique/>
      </w:docPartObj>
    </w:sdtPr>
    <w:sdtEndPr/>
    <w:sdtContent>
      <w:p w:rsidR="001B619B" w:rsidRPr="007F6D98" w:rsidRDefault="007F6D98" w:rsidP="007F6D9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53C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19B" w:rsidRDefault="00D4453C" w:rsidP="00F30219">
    <w:pPr>
      <w:pStyle w:val="Pta"/>
      <w:tabs>
        <w:tab w:val="clear" w:pos="4535"/>
        <w:tab w:val="clear" w:pos="9071"/>
        <w:tab w:val="clear" w:pos="9921"/>
        <w:tab w:val="left" w:pos="21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FF8" w:rsidRDefault="00B70FF8" w:rsidP="00B70FF8">
      <w:pPr>
        <w:spacing w:after="0" w:line="240" w:lineRule="auto"/>
      </w:pPr>
      <w:r>
        <w:separator/>
      </w:r>
    </w:p>
  </w:footnote>
  <w:footnote w:type="continuationSeparator" w:id="0">
    <w:p w:rsidR="00B70FF8" w:rsidRDefault="00B70FF8" w:rsidP="00B70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FF8" w:rsidRPr="00D4453C" w:rsidRDefault="002A0ADF" w:rsidP="00C055DE">
    <w:pPr>
      <w:pStyle w:val="Hlavika"/>
      <w:tabs>
        <w:tab w:val="clear" w:pos="4536"/>
        <w:tab w:val="clear" w:pos="9072"/>
      </w:tabs>
      <w:jc w:val="right"/>
      <w:rPr>
        <w:rFonts w:ascii="Times New Roman" w:eastAsia="Times New Roman" w:hAnsi="Times New Roman" w:cs="Times New Roman"/>
        <w:i/>
        <w:sz w:val="20"/>
        <w:szCs w:val="20"/>
        <w:lang w:eastAsia="sk-SK"/>
      </w:rPr>
    </w:pPr>
    <w:r w:rsidRPr="00D4453C">
      <w:rPr>
        <w:rFonts w:ascii="Times New Roman" w:eastAsia="Times New Roman" w:hAnsi="Times New Roman" w:cs="Times New Roman"/>
        <w:i/>
        <w:sz w:val="20"/>
        <w:szCs w:val="20"/>
        <w:lang w:eastAsia="sk-SK"/>
      </w:rPr>
      <w:t xml:space="preserve">Príloha č. </w:t>
    </w:r>
    <w:r w:rsidR="00A1652A" w:rsidRPr="00D4453C">
      <w:rPr>
        <w:rFonts w:ascii="Times New Roman" w:eastAsia="Times New Roman" w:hAnsi="Times New Roman" w:cs="Times New Roman"/>
        <w:i/>
        <w:sz w:val="20"/>
        <w:szCs w:val="20"/>
        <w:lang w:eastAsia="sk-SK"/>
      </w:rPr>
      <w:t>9</w:t>
    </w:r>
    <w:r w:rsidR="00B70FF8" w:rsidRPr="00D4453C">
      <w:rPr>
        <w:rFonts w:ascii="Times New Roman" w:eastAsia="Times New Roman" w:hAnsi="Times New Roman" w:cs="Times New Roman"/>
        <w:i/>
        <w:sz w:val="20"/>
        <w:szCs w:val="20"/>
        <w:lang w:eastAsia="sk-SK"/>
      </w:rPr>
      <w:t xml:space="preserve"> </w:t>
    </w:r>
    <w:r w:rsidR="00C055DE" w:rsidRPr="00D4453C">
      <w:rPr>
        <w:rFonts w:ascii="Times New Roman" w:eastAsia="Times New Roman" w:hAnsi="Times New Roman" w:cs="Times New Roman"/>
        <w:i/>
        <w:sz w:val="20"/>
        <w:szCs w:val="20"/>
        <w:lang w:eastAsia="sk-SK"/>
      </w:rPr>
      <w:t xml:space="preserve">k </w:t>
    </w:r>
    <w:r w:rsidR="00A1652A" w:rsidRPr="00D4453C">
      <w:rPr>
        <w:rFonts w:ascii="Times New Roman" w:eastAsia="Times New Roman" w:hAnsi="Times New Roman" w:cs="Times New Roman"/>
        <w:bCs/>
        <w:i/>
        <w:sz w:val="20"/>
        <w:szCs w:val="20"/>
      </w:rPr>
      <w:t>Príručk</w:t>
    </w:r>
    <w:r w:rsidR="001B7942" w:rsidRPr="00D4453C">
      <w:rPr>
        <w:rFonts w:ascii="Times New Roman" w:eastAsia="Times New Roman" w:hAnsi="Times New Roman" w:cs="Times New Roman"/>
        <w:bCs/>
        <w:i/>
        <w:sz w:val="20"/>
        <w:szCs w:val="20"/>
      </w:rPr>
      <w:t>e</w:t>
    </w:r>
    <w:r w:rsidR="00A1652A" w:rsidRPr="00D4453C">
      <w:rPr>
        <w:rFonts w:ascii="Times New Roman" w:eastAsia="Times New Roman" w:hAnsi="Times New Roman" w:cs="Times New Roman"/>
        <w:i/>
        <w:sz w:val="20"/>
        <w:szCs w:val="20"/>
        <w:lang w:eastAsia="sk-SK"/>
      </w:rPr>
      <w:t xml:space="preserve"> pre prijímateľa</w:t>
    </w:r>
  </w:p>
  <w:p w:rsidR="00B70FF8" w:rsidRPr="00A1652A" w:rsidRDefault="00B70FF8">
    <w:pPr>
      <w:pStyle w:val="Hlavika"/>
    </w:pPr>
  </w:p>
  <w:p w:rsidR="00A1652A" w:rsidRDefault="00A165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133"/>
    <w:multiLevelType w:val="hybridMultilevel"/>
    <w:tmpl w:val="2D42B8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A2620"/>
    <w:multiLevelType w:val="hybridMultilevel"/>
    <w:tmpl w:val="88BAD542"/>
    <w:lvl w:ilvl="0" w:tplc="B33EDAAC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18"/>
    <w:rsid w:val="001B7942"/>
    <w:rsid w:val="002A0ADF"/>
    <w:rsid w:val="0061546B"/>
    <w:rsid w:val="007F6D98"/>
    <w:rsid w:val="00971E49"/>
    <w:rsid w:val="00993BAF"/>
    <w:rsid w:val="009C4725"/>
    <w:rsid w:val="00A121C0"/>
    <w:rsid w:val="00A1652A"/>
    <w:rsid w:val="00A26FA8"/>
    <w:rsid w:val="00B70FF8"/>
    <w:rsid w:val="00C055DE"/>
    <w:rsid w:val="00C40A83"/>
    <w:rsid w:val="00C81DA7"/>
    <w:rsid w:val="00D4453C"/>
    <w:rsid w:val="00F517A6"/>
    <w:rsid w:val="00F84EF4"/>
    <w:rsid w:val="00F9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91B18"/>
    <w:rPr>
      <w:rFonts w:ascii="Calibri" w:eastAsia="Calibri" w:hAnsi="Calibri" w:cs="Mangal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91B1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F91B18"/>
    <w:rPr>
      <w:rFonts w:ascii="Cambria" w:eastAsia="Times New Roman" w:hAnsi="Cambria" w:cs="Mangal"/>
      <w:b/>
      <w:bCs/>
      <w:color w:val="365F91"/>
      <w:sz w:val="28"/>
      <w:szCs w:val="28"/>
    </w:rPr>
  </w:style>
  <w:style w:type="character" w:styleId="Hypertextovprepojenie">
    <w:name w:val="Hyperlink"/>
    <w:uiPriority w:val="99"/>
    <w:rsid w:val="00F91B18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rsid w:val="00F91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91B18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PtaChar">
    <w:name w:val="Päta Char"/>
    <w:basedOn w:val="Predvolenpsmoodseku"/>
    <w:link w:val="Pta"/>
    <w:uiPriority w:val="99"/>
    <w:rsid w:val="00F91B1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Odsekzoznamu">
    <w:name w:val="List Paragraph"/>
    <w:basedOn w:val="Normlny"/>
    <w:link w:val="OdsekzoznamuChar"/>
    <w:uiPriority w:val="99"/>
    <w:qFormat/>
    <w:rsid w:val="00F91B18"/>
    <w:pPr>
      <w:ind w:left="720"/>
      <w:contextualSpacing/>
    </w:pPr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OdsekzoznamuChar">
    <w:name w:val="Odsek zoznamu Char"/>
    <w:link w:val="Odsekzoznamu"/>
    <w:uiPriority w:val="99"/>
    <w:locked/>
    <w:rsid w:val="00F91B18"/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hps">
    <w:name w:val="hps"/>
    <w:uiPriority w:val="99"/>
    <w:rsid w:val="00F91B18"/>
  </w:style>
  <w:style w:type="paragraph" w:styleId="Textbubliny">
    <w:name w:val="Balloon Text"/>
    <w:basedOn w:val="Normlny"/>
    <w:link w:val="TextbublinyChar"/>
    <w:uiPriority w:val="99"/>
    <w:semiHidden/>
    <w:unhideWhenUsed/>
    <w:rsid w:val="00F91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1B18"/>
    <w:rPr>
      <w:rFonts w:ascii="Tahoma" w:eastAsia="Calibri" w:hAnsi="Tahoma" w:cs="Tahoma"/>
      <w:sz w:val="16"/>
      <w:szCs w:val="16"/>
    </w:rPr>
  </w:style>
  <w:style w:type="paragraph" w:styleId="Hlavika">
    <w:name w:val="header"/>
    <w:basedOn w:val="Normlny"/>
    <w:link w:val="HlavikaChar"/>
    <w:unhideWhenUsed/>
    <w:rsid w:val="00B70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70FF8"/>
    <w:rPr>
      <w:rFonts w:ascii="Calibri" w:eastAsia="Calibri" w:hAnsi="Calibri"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91B18"/>
    <w:rPr>
      <w:rFonts w:ascii="Calibri" w:eastAsia="Calibri" w:hAnsi="Calibri" w:cs="Mangal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91B1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F91B18"/>
    <w:rPr>
      <w:rFonts w:ascii="Cambria" w:eastAsia="Times New Roman" w:hAnsi="Cambria" w:cs="Mangal"/>
      <w:b/>
      <w:bCs/>
      <w:color w:val="365F91"/>
      <w:sz w:val="28"/>
      <w:szCs w:val="28"/>
    </w:rPr>
  </w:style>
  <w:style w:type="character" w:styleId="Hypertextovprepojenie">
    <w:name w:val="Hyperlink"/>
    <w:uiPriority w:val="99"/>
    <w:rsid w:val="00F91B18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rsid w:val="00F91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91B18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PtaChar">
    <w:name w:val="Päta Char"/>
    <w:basedOn w:val="Predvolenpsmoodseku"/>
    <w:link w:val="Pta"/>
    <w:uiPriority w:val="99"/>
    <w:rsid w:val="00F91B1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Odsekzoznamu">
    <w:name w:val="List Paragraph"/>
    <w:basedOn w:val="Normlny"/>
    <w:link w:val="OdsekzoznamuChar"/>
    <w:uiPriority w:val="99"/>
    <w:qFormat/>
    <w:rsid w:val="00F91B18"/>
    <w:pPr>
      <w:ind w:left="720"/>
      <w:contextualSpacing/>
    </w:pPr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OdsekzoznamuChar">
    <w:name w:val="Odsek zoznamu Char"/>
    <w:link w:val="Odsekzoznamu"/>
    <w:uiPriority w:val="99"/>
    <w:locked/>
    <w:rsid w:val="00F91B18"/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hps">
    <w:name w:val="hps"/>
    <w:uiPriority w:val="99"/>
    <w:rsid w:val="00F91B18"/>
  </w:style>
  <w:style w:type="paragraph" w:styleId="Textbubliny">
    <w:name w:val="Balloon Text"/>
    <w:basedOn w:val="Normlny"/>
    <w:link w:val="TextbublinyChar"/>
    <w:uiPriority w:val="99"/>
    <w:semiHidden/>
    <w:unhideWhenUsed/>
    <w:rsid w:val="00F91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1B18"/>
    <w:rPr>
      <w:rFonts w:ascii="Tahoma" w:eastAsia="Calibri" w:hAnsi="Tahoma" w:cs="Tahoma"/>
      <w:sz w:val="16"/>
      <w:szCs w:val="16"/>
    </w:rPr>
  </w:style>
  <w:style w:type="paragraph" w:styleId="Hlavika">
    <w:name w:val="header"/>
    <w:basedOn w:val="Normlny"/>
    <w:link w:val="HlavikaChar"/>
    <w:unhideWhenUsed/>
    <w:rsid w:val="00B70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70FF8"/>
    <w:rPr>
      <w:rFonts w:ascii="Calibri" w:eastAsia="Calibri" w:hAnsi="Calibri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c.europa.eu/dgs/communication/services/visual_identity/pdf/use-emblem_en.pdf" TargetMode="Externa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52E2B2-114E-42FF-A416-581AD3D23DE0}"/>
</file>

<file path=customXml/itemProps2.xml><?xml version="1.0" encoding="utf-8"?>
<ds:datastoreItem xmlns:ds="http://schemas.openxmlformats.org/officeDocument/2006/customXml" ds:itemID="{A3BF53EB-BBE2-4566-A853-4A7542A8DC25}"/>
</file>

<file path=customXml/itemProps3.xml><?xml version="1.0" encoding="utf-8"?>
<ds:datastoreItem xmlns:ds="http://schemas.openxmlformats.org/officeDocument/2006/customXml" ds:itemID="{BB3792BA-CA9E-4C96-8D9A-1562CB090F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2017-03-24T11:47:00Z</dcterms:created>
  <dcterms:modified xsi:type="dcterms:W3CDTF">2017-05-02T11:09:00Z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0x01010082B965BC138D4F4E9DC9364EB5685F3D</vt:lpwstr>
  </property>
</Properties>
</file>